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481B" w:rsidRPr="00BC481B" w:rsidRDefault="00BC481B" w:rsidP="00BC481B">
      <w:pPr>
        <w:widowControl/>
        <w:spacing w:before="360" w:after="360"/>
        <w:jc w:val="left"/>
        <w:outlineLvl w:val="0"/>
        <w:rPr>
          <w:rFonts w:ascii="inherit" w:eastAsia="宋体" w:hAnsi="inherit" w:cs="宋体"/>
          <w:b/>
          <w:bCs/>
          <w:kern w:val="36"/>
          <w:sz w:val="36"/>
          <w:szCs w:val="36"/>
        </w:rPr>
      </w:pPr>
      <w:r w:rsidRPr="00BC481B">
        <w:rPr>
          <w:rFonts w:ascii="inherit" w:eastAsia="宋体" w:hAnsi="inherit" w:cs="宋体"/>
          <w:b/>
          <w:bCs/>
          <w:kern w:val="36"/>
          <w:sz w:val="36"/>
          <w:szCs w:val="36"/>
        </w:rPr>
        <w:t>国产</w:t>
      </w:r>
      <w:r w:rsidRPr="00BC481B">
        <w:rPr>
          <w:rFonts w:ascii="inherit" w:eastAsia="宋体" w:hAnsi="inherit" w:cs="宋体"/>
          <w:b/>
          <w:bCs/>
          <w:kern w:val="36"/>
          <w:sz w:val="36"/>
          <w:szCs w:val="36"/>
        </w:rPr>
        <w:t>7</w:t>
      </w:r>
      <w:r w:rsidRPr="00BC481B">
        <w:rPr>
          <w:rFonts w:ascii="inherit" w:eastAsia="宋体" w:hAnsi="inherit" w:cs="宋体"/>
          <w:b/>
          <w:bCs/>
          <w:kern w:val="36"/>
          <w:sz w:val="36"/>
          <w:szCs w:val="36"/>
        </w:rPr>
        <w:t>大</w:t>
      </w:r>
      <w:r w:rsidRPr="00BC481B">
        <w:rPr>
          <w:rFonts w:ascii="inherit" w:eastAsia="宋体" w:hAnsi="inherit" w:cs="宋体"/>
          <w:b/>
          <w:bCs/>
          <w:kern w:val="36"/>
          <w:sz w:val="36"/>
          <w:szCs w:val="36"/>
        </w:rPr>
        <w:t>CPU</w:t>
      </w:r>
      <w:r w:rsidRPr="00BC481B">
        <w:rPr>
          <w:rFonts w:ascii="inherit" w:eastAsia="宋体" w:hAnsi="inherit" w:cs="宋体"/>
          <w:b/>
          <w:bCs/>
          <w:kern w:val="36"/>
          <w:sz w:val="36"/>
          <w:szCs w:val="36"/>
        </w:rPr>
        <w:t>最新规格</w:t>
      </w:r>
    </w:p>
    <w:p w:rsidR="00BC481B" w:rsidRPr="00BC481B" w:rsidRDefault="00BC481B" w:rsidP="00BC481B">
      <w:pPr>
        <w:ind w:firstLineChars="200" w:firstLine="420"/>
      </w:pPr>
      <w:r w:rsidRPr="00BC481B">
        <w:rPr>
          <w:rFonts w:hint="eastAsia"/>
        </w:rPr>
        <w:t>CPU是底层硬件基础设施中的核心，当前主流芯片架构为 </w:t>
      </w:r>
      <w:hyperlink r:id="rId4" w:tgtFrame="_blank" w:history="1">
        <w:r w:rsidRPr="00BC481B">
          <w:rPr>
            <w:rFonts w:hint="eastAsia"/>
          </w:rPr>
          <w:t>ARM</w:t>
        </w:r>
      </w:hyperlink>
      <w:r w:rsidRPr="00BC481B">
        <w:rPr>
          <w:rFonts w:hint="eastAsia"/>
        </w:rPr>
        <w:t> 和 </w:t>
      </w:r>
      <w:hyperlink r:id="rId5" w:tgtFrame="_blank" w:history="1">
        <w:r w:rsidRPr="00BC481B">
          <w:rPr>
            <w:rFonts w:hint="eastAsia"/>
          </w:rPr>
          <w:t>X86</w:t>
        </w:r>
      </w:hyperlink>
      <w:r w:rsidRPr="00BC481B">
        <w:rPr>
          <w:rFonts w:hint="eastAsia"/>
        </w:rPr>
        <w:t>，均为国外主导，芯片国产化率较低。国家启动发展国产 CPU 的</w:t>
      </w:r>
      <w:hyperlink r:id="rId6" w:tgtFrame="_blank" w:history="1">
        <w:r w:rsidRPr="00BC481B">
          <w:rPr>
            <w:rFonts w:hint="eastAsia"/>
          </w:rPr>
          <w:t>泰山计划</w:t>
        </w:r>
      </w:hyperlink>
      <w:r w:rsidRPr="00BC481B">
        <w:rPr>
          <w:rFonts w:hint="eastAsia"/>
        </w:rPr>
        <w:t>，</w:t>
      </w:r>
      <w:hyperlink r:id="rId7" w:tgtFrame="_blank" w:history="1">
        <w:r w:rsidRPr="00BC481B">
          <w:rPr>
            <w:rFonts w:hint="eastAsia"/>
          </w:rPr>
          <w:t>863 计划</w:t>
        </w:r>
      </w:hyperlink>
      <w:r w:rsidRPr="00BC481B">
        <w:rPr>
          <w:rFonts w:hint="eastAsia"/>
        </w:rPr>
        <w:t>也提出自主研发 CPU。2006 年</w:t>
      </w:r>
      <w:hyperlink r:id="rId8" w:tgtFrame="_blank" w:history="1">
        <w:r w:rsidRPr="00BC481B">
          <w:rPr>
            <w:rFonts w:hint="eastAsia"/>
          </w:rPr>
          <w:t>核高基专项</w:t>
        </w:r>
      </w:hyperlink>
      <w:r w:rsidRPr="00BC481B">
        <w:rPr>
          <w:rFonts w:hint="eastAsia"/>
        </w:rPr>
        <w:t>启动，国产 CPU领域迎来新一轮的国家支持，鲲鹏、飞腾、龙芯、</w:t>
      </w:r>
      <w:hyperlink r:id="rId9" w:tgtFrame="_blank" w:history="1">
        <w:r w:rsidRPr="00BC481B">
          <w:rPr>
            <w:rFonts w:hint="eastAsia"/>
          </w:rPr>
          <w:t>兆芯</w:t>
        </w:r>
      </w:hyperlink>
      <w:r w:rsidRPr="00BC481B">
        <w:rPr>
          <w:rFonts w:hint="eastAsia"/>
        </w:rPr>
        <w:t>、海光、申威等一批优质国产 CPU 厂商快速崛起。</w:t>
      </w:r>
    </w:p>
    <w:p w:rsidR="00BC481B" w:rsidRPr="00BC481B" w:rsidRDefault="00BC481B" w:rsidP="00BC481B">
      <w:pPr>
        <w:rPr>
          <w:rFonts w:hint="eastAsia"/>
        </w:rPr>
      </w:pPr>
      <w:r w:rsidRPr="00BC481B">
        <w:rPr>
          <w:rFonts w:hint="eastAsia"/>
        </w:rPr>
        <w:t>1、国内CPU厂商概述</w:t>
      </w:r>
    </w:p>
    <w:p w:rsidR="00BC481B" w:rsidRPr="00BC481B" w:rsidRDefault="00BC481B" w:rsidP="00BC481B">
      <w:pPr>
        <w:ind w:firstLineChars="200" w:firstLine="420"/>
        <w:rPr>
          <w:rFonts w:hint="eastAsia"/>
        </w:rPr>
      </w:pPr>
      <w:hyperlink r:id="rId10" w:tgtFrame="_blank" w:history="1">
        <w:r w:rsidRPr="00BC481B">
          <w:rPr>
            <w:rFonts w:hint="eastAsia"/>
          </w:rPr>
          <w:t>海光信息</w:t>
        </w:r>
      </w:hyperlink>
      <w:r w:rsidRPr="00BC481B">
        <w:rPr>
          <w:rFonts w:hint="eastAsia"/>
        </w:rPr>
        <w:t>和兆芯采用 x86 架构 IP 内核授权模式，可基于公版 CPU 核进行优化或修改，优点是性能起点高、生态壁垒低，缺点是需要支付授权费、自主创新程度较低。海光最新一代 CPU 已接近国际同类高端产品水平，并兼容x86 指令集。 鲲鹏和天津飞腾采用 ARM 指令集架构授权，可自行设计 CPU 内核和 SOC，也可扩充指令集，自主化程度相对较高。华为鲲鹏 920 处理器是业内首款 7nm 数据中心 ARM 处理器，非 X86 架构芯片中鲲鹏 920 芯片在算力维度方面优势领先，且发展至今已经达到可以与 X86 芯片相匹配的性能。 </w:t>
      </w:r>
      <w:hyperlink r:id="rId11" w:tgtFrame="_blank" w:history="1">
        <w:r w:rsidRPr="00BC481B">
          <w:rPr>
            <w:rFonts w:hint="eastAsia"/>
          </w:rPr>
          <w:t>龙芯中科</w:t>
        </w:r>
      </w:hyperlink>
      <w:r w:rsidRPr="00BC481B">
        <w:rPr>
          <w:rFonts w:hint="eastAsia"/>
        </w:rPr>
        <w:t>采用自研的 </w:t>
      </w:r>
      <w:hyperlink r:id="rId12" w:tgtFrame="_blank" w:history="1">
        <w:r w:rsidRPr="00BC481B">
          <w:rPr>
            <w:rFonts w:hint="eastAsia"/>
          </w:rPr>
          <w:t>LoongArch</w:t>
        </w:r>
      </w:hyperlink>
      <w:r w:rsidRPr="00BC481B">
        <w:rPr>
          <w:rFonts w:hint="eastAsia"/>
        </w:rPr>
        <w:t> 指令集，拥有较强的自主性和可靠性，其秉承独立自主和开放合作的运营模式，从指令集/IP 核授权、到芯片级/主板级开发以及系统内核应用等方面对生态伙伴进行全方位的开放支持。</w:t>
      </w:r>
    </w:p>
    <w:p w:rsidR="00BC481B" w:rsidRPr="00BC481B" w:rsidRDefault="00BC481B" w:rsidP="00BC481B">
      <w:pPr>
        <w:ind w:firstLineChars="200" w:firstLine="420"/>
        <w:rPr>
          <w:rFonts w:hint="eastAsia"/>
        </w:rPr>
      </w:pPr>
      <w:r w:rsidRPr="00BC481B">
        <w:rPr>
          <w:rFonts w:hint="eastAsia"/>
        </w:rPr>
        <w:t>申威采用自研的申威 64 位指令集，重点应用于特种领域，努力实现在国防和网络安全领域芯片的自主可控。随着其产品技术的日益成熟，其生态也不断趋于完善。 海思、飞腾均已经获得 ARMv8 永久授权，尽管 ARM 此前表态 ARMv9 架构不受美国出口管理条例约束，华为海思等国内CPU产商依然可获授权，但是ARMv9不再提供永久授权，采用 ARM 架构仍有长期隐患。</w:t>
      </w:r>
    </w:p>
    <w:p w:rsidR="00BC481B" w:rsidRPr="00BC481B" w:rsidRDefault="00BC481B" w:rsidP="00BC481B">
      <w:pPr>
        <w:rPr>
          <w:rFonts w:hint="eastAsia"/>
        </w:rPr>
      </w:pPr>
      <w:r w:rsidRPr="00BC481B">
        <w:drawing>
          <wp:inline distT="0" distB="0" distL="0" distR="0">
            <wp:extent cx="5274310" cy="3511550"/>
            <wp:effectExtent l="0" t="0" r="2540" b="0"/>
            <wp:docPr id="15402905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1550"/>
                    </a:xfrm>
                    <a:prstGeom prst="rect">
                      <a:avLst/>
                    </a:prstGeom>
                    <a:noFill/>
                    <a:ln>
                      <a:noFill/>
                    </a:ln>
                  </pic:spPr>
                </pic:pic>
              </a:graphicData>
            </a:graphic>
          </wp:inline>
        </w:drawing>
      </w:r>
    </w:p>
    <w:p w:rsidR="00BC481B" w:rsidRPr="00BC481B" w:rsidRDefault="00BC481B" w:rsidP="00BC481B">
      <w:pPr>
        <w:rPr>
          <w:rFonts w:hint="eastAsia"/>
        </w:rPr>
      </w:pPr>
      <w:r w:rsidRPr="00BC481B">
        <w:lastRenderedPageBreak/>
        <w:drawing>
          <wp:inline distT="0" distB="0" distL="0" distR="0">
            <wp:extent cx="5274310" cy="1935480"/>
            <wp:effectExtent l="0" t="0" r="2540" b="7620"/>
            <wp:docPr id="20938018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935480"/>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hyperlink r:id="rId15" w:tgtFrame="_blank" w:history="1">
        <w:r w:rsidRPr="00BC481B">
          <w:rPr>
            <w:rFonts w:hint="eastAsia"/>
          </w:rPr>
          <w:t>RISC-V</w:t>
        </w:r>
      </w:hyperlink>
      <w:r w:rsidRPr="00BC481B">
        <w:rPr>
          <w:rFonts w:hint="eastAsia"/>
        </w:rPr>
        <w:t> 因其相对精简的指令集架构（ISA）以及开源宽松的 BSD 协议近年来发展较快，国内阿里平头哥、国芯科技等企业推出了该架构相关产品。MIPS 和 ALPHA 指令架构相对小众，对应国产 CPU 的代表性企业分别是龙芯和申威。</w:t>
      </w:r>
    </w:p>
    <w:p w:rsidR="00BC481B" w:rsidRPr="00BC481B" w:rsidRDefault="00BC481B" w:rsidP="00BC481B">
      <w:pPr>
        <w:rPr>
          <w:rFonts w:hint="eastAsia"/>
        </w:rPr>
      </w:pPr>
      <w:r w:rsidRPr="00BC481B">
        <w:drawing>
          <wp:inline distT="0" distB="0" distL="0" distR="0">
            <wp:extent cx="5274310" cy="3434080"/>
            <wp:effectExtent l="0" t="0" r="2540" b="0"/>
            <wp:docPr id="2325682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434080"/>
                    </a:xfrm>
                    <a:prstGeom prst="rect">
                      <a:avLst/>
                    </a:prstGeom>
                    <a:noFill/>
                    <a:ln>
                      <a:noFill/>
                    </a:ln>
                  </pic:spPr>
                </pic:pic>
              </a:graphicData>
            </a:graphic>
          </wp:inline>
        </w:drawing>
      </w:r>
    </w:p>
    <w:p w:rsidR="00BC481B" w:rsidRPr="00BC481B" w:rsidRDefault="00BC481B" w:rsidP="00BC481B">
      <w:pPr>
        <w:rPr>
          <w:rFonts w:hint="eastAsia"/>
        </w:rPr>
      </w:pPr>
      <w:r w:rsidRPr="00BC481B">
        <w:rPr>
          <w:rFonts w:hint="eastAsia"/>
        </w:rPr>
        <w:t>2、</w:t>
      </w:r>
      <w:hyperlink r:id="rId17" w:tgtFrame="_blank" w:history="1">
        <w:r w:rsidRPr="00BC481B">
          <w:rPr>
            <w:rFonts w:hint="eastAsia"/>
          </w:rPr>
          <w:t>鲲鹏920</w:t>
        </w:r>
      </w:hyperlink>
      <w:r w:rsidRPr="00BC481B">
        <w:rPr>
          <w:rFonts w:hint="eastAsia"/>
        </w:rPr>
        <w:t>处理器</w:t>
      </w:r>
    </w:p>
    <w:p w:rsidR="00BC481B" w:rsidRPr="00BC481B" w:rsidRDefault="00BC481B" w:rsidP="00BC481B">
      <w:pPr>
        <w:ind w:firstLineChars="200" w:firstLine="420"/>
        <w:rPr>
          <w:rFonts w:hint="eastAsia"/>
        </w:rPr>
      </w:pPr>
      <w:r w:rsidRPr="00BC481B">
        <w:rPr>
          <w:rFonts w:hint="eastAsia"/>
        </w:rPr>
        <w:t>鲲鹏920处理器。该芯片支持 ARMv8.2 指令集，是行业内首款 7nm数据中心 ARM 处理器，专为大数据处理以及分布式存储等应用而设计。鲲鹏 920 采用多发射、乱序执行、优化分支预测等多种手段提升单核性能。 鲲鹏920 拥有 64 个内核，集成 8 通道 DDR4，可以提供多个接口，主频可达 2.6GHz，总内存带宽最高可达 1.5Tb/s，支持 PCIe 4.0 及 CCIX 接口，总带宽 640Gbps。华为 Cache一致性总线（HCCS）的 480Gbps 片间互联支持最多四颗鲲鹏 920 互联和最高 256 个物理核的 NUMA 架构，保证了鲲鹏 920 超强算力的高效输出。此外，在 Memory 子系统上也进行了大量的优化，采用当前典型的 3 级 Cache 的架构，对 Cache 大小以及延时进行了优化设计。</w:t>
      </w:r>
    </w:p>
    <w:p w:rsidR="00BC481B" w:rsidRPr="00BC481B" w:rsidRDefault="00BC481B" w:rsidP="00BC481B">
      <w:pPr>
        <w:rPr>
          <w:rFonts w:hint="eastAsia"/>
        </w:rPr>
      </w:pPr>
      <w:r w:rsidRPr="00BC481B">
        <w:lastRenderedPageBreak/>
        <w:drawing>
          <wp:inline distT="0" distB="0" distL="0" distR="0">
            <wp:extent cx="5274310" cy="2189480"/>
            <wp:effectExtent l="0" t="0" r="2540" b="1270"/>
            <wp:docPr id="2277321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189480"/>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鲲鹏 920 不同核心下与竞品芯片的对比，其在 48 核的时候，整数打平 intel 至强 8180，功耗低 20%。而 64 核心的鲲鹏 920，则比过 intel至强 8180 33%左右。其中至强 8180 是 intel 用于服务器的旗舰芯片，采用 28 核心，2.5GHz 频率，广泛应用于 X86 服务器中。</w:t>
      </w:r>
    </w:p>
    <w:p w:rsidR="00BC481B" w:rsidRPr="00BC481B" w:rsidRDefault="00BC481B" w:rsidP="00BC481B">
      <w:pPr>
        <w:rPr>
          <w:rFonts w:hint="eastAsia"/>
        </w:rPr>
      </w:pPr>
      <w:r w:rsidRPr="00BC481B">
        <w:rPr>
          <w:rFonts w:hint="eastAsia"/>
        </w:rPr>
        <w:t>3、飞腾处理器</w:t>
      </w:r>
    </w:p>
    <w:p w:rsidR="00BC481B" w:rsidRPr="00BC481B" w:rsidRDefault="00BC481B" w:rsidP="00BC481B">
      <w:pPr>
        <w:ind w:firstLineChars="200" w:firstLine="420"/>
        <w:rPr>
          <w:rFonts w:hint="eastAsia"/>
        </w:rPr>
      </w:pPr>
      <w:r w:rsidRPr="00BC481B">
        <w:rPr>
          <w:rFonts w:hint="eastAsia"/>
        </w:rPr>
        <w:t>飞腾对高性能服务器 CPU、高效能桌面 CPU、高端嵌入式 CPU 三条产业线进行了全面的品牌升级。高性能服务器CPU产品线统一以飞腾腾云S系列进行命名，高性能桌面 CPU 产品线以飞腾腾锐 D 系列进行命名，高端嵌入式 CPU 产品线统一以飞腾腾珑 E 系列进行命名，提供定制化、契合各行各业嵌入式应用的解决方案。</w:t>
      </w:r>
    </w:p>
    <w:p w:rsidR="00BC481B" w:rsidRPr="00BC481B" w:rsidRDefault="00BC481B" w:rsidP="00BC481B">
      <w:pPr>
        <w:rPr>
          <w:rFonts w:hint="eastAsia"/>
        </w:rPr>
      </w:pPr>
      <w:r w:rsidRPr="00BC481B">
        <w:drawing>
          <wp:inline distT="0" distB="0" distL="0" distR="0">
            <wp:extent cx="5274310" cy="2462530"/>
            <wp:effectExtent l="0" t="0" r="2540" b="0"/>
            <wp:docPr id="5497505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462530"/>
                    </a:xfrm>
                    <a:prstGeom prst="rect">
                      <a:avLst/>
                    </a:prstGeom>
                    <a:noFill/>
                    <a:ln>
                      <a:noFill/>
                    </a:ln>
                  </pic:spPr>
                </pic:pic>
              </a:graphicData>
            </a:graphic>
          </wp:inline>
        </w:drawing>
      </w:r>
    </w:p>
    <w:p w:rsidR="00BC481B" w:rsidRPr="00BC481B" w:rsidRDefault="00BC481B" w:rsidP="00BC481B">
      <w:pPr>
        <w:rPr>
          <w:rFonts w:hint="eastAsia"/>
        </w:rPr>
      </w:pPr>
      <w:r w:rsidRPr="00BC481B">
        <w:lastRenderedPageBreak/>
        <w:drawing>
          <wp:inline distT="0" distB="0" distL="0" distR="0">
            <wp:extent cx="5274310" cy="3917950"/>
            <wp:effectExtent l="0" t="0" r="2540" b="6350"/>
            <wp:docPr id="10847155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917950"/>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hyperlink r:id="rId21" w:tgtFrame="_blank" w:history="1">
        <w:r w:rsidRPr="00BC481B">
          <w:rPr>
            <w:rFonts w:hint="eastAsia"/>
          </w:rPr>
          <w:t>PKS 体系</w:t>
        </w:r>
      </w:hyperlink>
      <w:r w:rsidRPr="00BC481B">
        <w:rPr>
          <w:rFonts w:hint="eastAsia"/>
        </w:rPr>
        <w:t>最早由飞腾 CPU（Phytium）和麒麟操作系统（Kylin）的“PK 体系”发展而来。依托飞腾全新的硬件级安全机制，以相关可信技术为支撑，PK 体系融合“S-Security”的立体防护安全链，升级为 PKS体系，并全球首创将“可信计算 3.0”技术融入到 CPU、操作系统和存储控制器中，实现底层构架的本质安全，并成为国内首个计算机软硬件基础体系标准。</w:t>
      </w:r>
    </w:p>
    <w:p w:rsidR="00BC481B" w:rsidRPr="00BC481B" w:rsidRDefault="00BC481B" w:rsidP="00BC481B">
      <w:pPr>
        <w:rPr>
          <w:rFonts w:hint="eastAsia"/>
        </w:rPr>
      </w:pPr>
      <w:r w:rsidRPr="00BC481B">
        <w:rPr>
          <w:rFonts w:hint="eastAsia"/>
        </w:rPr>
        <w:t>4、海光处理器</w:t>
      </w:r>
    </w:p>
    <w:p w:rsidR="00BC481B" w:rsidRPr="00BC481B" w:rsidRDefault="00BC481B" w:rsidP="00BC481B">
      <w:pPr>
        <w:ind w:firstLineChars="200" w:firstLine="420"/>
        <w:rPr>
          <w:rFonts w:hint="eastAsia"/>
        </w:rPr>
      </w:pPr>
      <w:r w:rsidRPr="00BC481B">
        <w:rPr>
          <w:rFonts w:hint="eastAsia"/>
        </w:rPr>
        <w:t>海光信息与 AMD 公司合作密切，授权海光微电子 x86 指令集和Zen 架构，AMD 获得 2.93 亿美元的授权费。海光集成电路购买海光微电子的 IP 授权，以此为基础开发 CPU。海光集成电路与海光微电子的股权结构保证了公司在规避了英特尔的 x86 授权限制的同时，又使得海光 x86 CPU 成为内资公司开发的产品，满足了国家产业政策和创新的需求。</w:t>
      </w:r>
    </w:p>
    <w:p w:rsidR="00BC481B" w:rsidRPr="00BC481B" w:rsidRDefault="00BC481B" w:rsidP="00BC481B">
      <w:pPr>
        <w:rPr>
          <w:rFonts w:hint="eastAsia"/>
        </w:rPr>
      </w:pPr>
      <w:r w:rsidRPr="00BC481B">
        <w:drawing>
          <wp:inline distT="0" distB="0" distL="0" distR="0">
            <wp:extent cx="5274310" cy="1240155"/>
            <wp:effectExtent l="0" t="0" r="2540" b="0"/>
            <wp:docPr id="19431559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240155"/>
                    </a:xfrm>
                    <a:prstGeom prst="rect">
                      <a:avLst/>
                    </a:prstGeom>
                    <a:noFill/>
                    <a:ln>
                      <a:noFill/>
                    </a:ln>
                  </pic:spPr>
                </pic:pic>
              </a:graphicData>
            </a:graphic>
          </wp:inline>
        </w:drawing>
      </w:r>
    </w:p>
    <w:p w:rsidR="00BC481B" w:rsidRPr="00BC481B" w:rsidRDefault="00BC481B" w:rsidP="00BC481B">
      <w:pPr>
        <w:rPr>
          <w:rFonts w:hint="eastAsia"/>
        </w:rPr>
      </w:pPr>
      <w:r w:rsidRPr="00BC481B">
        <w:lastRenderedPageBreak/>
        <w:drawing>
          <wp:inline distT="0" distB="0" distL="0" distR="0">
            <wp:extent cx="5274310" cy="2112010"/>
            <wp:effectExtent l="0" t="0" r="2540" b="2540"/>
            <wp:docPr id="12955423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112010"/>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基于 AMD Zen1 架构，产品性能起点较高。选取 Intel 在 2020 年（与海光7285 同期）发布的 6 款至强铂金系列产品（能够反映 Intel 2020 年发布的主流 CPU产品的性能）与海光 7285 进行性能对比可以发现，在典型场景下，公司最新一代 CPU相关产品均已接近国际同类高端产品水平。</w:t>
      </w:r>
    </w:p>
    <w:p w:rsidR="00BC481B" w:rsidRPr="00BC481B" w:rsidRDefault="00BC481B" w:rsidP="00BC481B">
      <w:pPr>
        <w:rPr>
          <w:rFonts w:hint="eastAsia"/>
        </w:rPr>
      </w:pPr>
      <w:r w:rsidRPr="00BC481B">
        <w:drawing>
          <wp:inline distT="0" distB="0" distL="0" distR="0">
            <wp:extent cx="5274310" cy="2882900"/>
            <wp:effectExtent l="0" t="0" r="2540" b="0"/>
            <wp:docPr id="17995397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882900"/>
                    </a:xfrm>
                    <a:prstGeom prst="rect">
                      <a:avLst/>
                    </a:prstGeom>
                    <a:noFill/>
                    <a:ln>
                      <a:noFill/>
                    </a:ln>
                  </pic:spPr>
                </pic:pic>
              </a:graphicData>
            </a:graphic>
          </wp:inline>
        </w:drawing>
      </w:r>
    </w:p>
    <w:p w:rsidR="00BC481B" w:rsidRPr="00BC481B" w:rsidRDefault="00BC481B" w:rsidP="00BC481B">
      <w:pPr>
        <w:rPr>
          <w:rFonts w:hint="eastAsia"/>
        </w:rPr>
      </w:pPr>
      <w:r w:rsidRPr="00BC481B">
        <w:rPr>
          <w:rFonts w:hint="eastAsia"/>
        </w:rPr>
        <w:t>5、兆芯“开先、开胜”处理器</w:t>
      </w:r>
    </w:p>
    <w:p w:rsidR="00BC481B" w:rsidRPr="00BC481B" w:rsidRDefault="00BC481B" w:rsidP="00BC481B">
      <w:pPr>
        <w:ind w:firstLineChars="200" w:firstLine="420"/>
        <w:rPr>
          <w:rFonts w:hint="eastAsia"/>
        </w:rPr>
      </w:pPr>
      <w:r w:rsidRPr="00BC481B">
        <w:rPr>
          <w:rFonts w:hint="eastAsia"/>
        </w:rPr>
        <w:t>兆芯自主研发的通用处理器产品涵盖“开先”、“开胜”两大系列，具备良好的操作系统和软硬件兼容性，生态体系成熟，支持构建台式机、笔记本、一体机、云终端等多种类型的桌面整机以及服务器、存储等产品。此外，在嵌入式领域，也已经有不同规格基于兆芯通用处理器的工业主板、模块化电脑、工业整机、Box PC、工业级服务器、网络安全平台等产品陆续推出。</w:t>
      </w:r>
    </w:p>
    <w:p w:rsidR="00BC481B" w:rsidRPr="00BC481B" w:rsidRDefault="00BC481B" w:rsidP="00BC481B">
      <w:pPr>
        <w:rPr>
          <w:rFonts w:hint="eastAsia"/>
        </w:rPr>
      </w:pPr>
      <w:r w:rsidRPr="00BC481B">
        <w:lastRenderedPageBreak/>
        <w:drawing>
          <wp:inline distT="0" distB="0" distL="0" distR="0">
            <wp:extent cx="5274310" cy="2172335"/>
            <wp:effectExtent l="0" t="0" r="2540" b="0"/>
            <wp:docPr id="2719210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172335"/>
                    </a:xfrm>
                    <a:prstGeom prst="rect">
                      <a:avLst/>
                    </a:prstGeom>
                    <a:noFill/>
                    <a:ln>
                      <a:noFill/>
                    </a:ln>
                  </pic:spPr>
                </pic:pic>
              </a:graphicData>
            </a:graphic>
          </wp:inline>
        </w:drawing>
      </w:r>
    </w:p>
    <w:p w:rsidR="00BC481B" w:rsidRPr="00BC481B" w:rsidRDefault="00BC481B" w:rsidP="00BC481B">
      <w:pPr>
        <w:rPr>
          <w:rFonts w:hint="eastAsia"/>
        </w:rPr>
      </w:pPr>
      <w:r w:rsidRPr="00BC481B">
        <w:drawing>
          <wp:inline distT="0" distB="0" distL="0" distR="0">
            <wp:extent cx="5274310" cy="2148205"/>
            <wp:effectExtent l="0" t="0" r="2540" b="4445"/>
            <wp:docPr id="680750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148205"/>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开先 KX-6000/开胜 KH-30000 系列处理器是业内第一款完整集成 CPU、GPU、芯片组的SoC 单芯片国产通用处理器，这为整机系统的开发提供了较大的便利条件，同时也更利于控制成本。 通过 KX-6000 系列处理器横向对比，8 核心的 KX-U6780A 产品性能与第七代的 4 核心英特尔 i5 整体水平仍存在差距，尤其是单核性能不足 7 代 i5 一半，但整数性能方面对英特尔 i5 实现了反超。</w:t>
      </w:r>
    </w:p>
    <w:p w:rsidR="00BC481B" w:rsidRPr="00BC481B" w:rsidRDefault="00BC481B" w:rsidP="00BC481B">
      <w:pPr>
        <w:rPr>
          <w:rFonts w:hint="eastAsia"/>
        </w:rPr>
      </w:pPr>
      <w:r w:rsidRPr="00BC481B">
        <w:drawing>
          <wp:inline distT="0" distB="0" distL="0" distR="0">
            <wp:extent cx="5274310" cy="1734185"/>
            <wp:effectExtent l="0" t="0" r="2540" b="0"/>
            <wp:docPr id="5976757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734185"/>
                    </a:xfrm>
                    <a:prstGeom prst="rect">
                      <a:avLst/>
                    </a:prstGeom>
                    <a:noFill/>
                    <a:ln>
                      <a:noFill/>
                    </a:ln>
                  </pic:spPr>
                </pic:pic>
              </a:graphicData>
            </a:graphic>
          </wp:inline>
        </w:drawing>
      </w:r>
    </w:p>
    <w:p w:rsidR="00BC481B" w:rsidRPr="00BC481B" w:rsidRDefault="00BC481B" w:rsidP="00BC481B">
      <w:pPr>
        <w:rPr>
          <w:rFonts w:hint="eastAsia"/>
        </w:rPr>
      </w:pPr>
      <w:r w:rsidRPr="00BC481B">
        <w:rPr>
          <w:rFonts w:hint="eastAsia"/>
        </w:rPr>
        <w:t>6、龙芯LoongISA 指令系统</w:t>
      </w:r>
    </w:p>
    <w:p w:rsidR="00BC481B" w:rsidRPr="00BC481B" w:rsidRDefault="00BC481B" w:rsidP="00BC481B">
      <w:pPr>
        <w:ind w:firstLineChars="200" w:firstLine="420"/>
        <w:rPr>
          <w:rFonts w:hint="eastAsia"/>
        </w:rPr>
      </w:pPr>
      <w:r w:rsidRPr="00BC481B">
        <w:rPr>
          <w:rFonts w:hint="eastAsia"/>
        </w:rPr>
        <w:t>龙芯中科采用自主LoongISA 指令系统，兼容 MIPS 指令，所有 IP 模块皆为自主设计，拥有片内安全机制，可信性高。龙芯处理器以 32 位核 64 位单核及多核 CPU/SOC 为主，主要面向高端嵌入式、个人电脑、服务器和高性能机等应用。2002 年 8 月诞生的“龙芯一号”是我国首枚拥有自主知识产权的通用高性能微处理芯片。 龙芯 1 号系列为低功耗、低成本的专用嵌入式 SoC 或MCU 处理器；龙芯 2 号系列为低功耗通用处理器，采用单芯片 SoC 设计，应用场景面向工业控制与终端等领域；龙芯 3 号系列为高性能通用处理器，通常集成 4 个及以上 64 位高性能处理器核，与桥片配套使用，应用场景面向桌面和服务器</w:t>
      </w:r>
      <w:r w:rsidRPr="00BC481B">
        <w:rPr>
          <w:rFonts w:hint="eastAsia"/>
        </w:rPr>
        <w:lastRenderedPageBreak/>
        <w:t>等信息化领域，对标 Intel的酷睿/至强系列。</w:t>
      </w:r>
    </w:p>
    <w:p w:rsidR="00BC481B" w:rsidRPr="00BC481B" w:rsidRDefault="00BC481B" w:rsidP="00BC481B">
      <w:pPr>
        <w:rPr>
          <w:rFonts w:hint="eastAsia"/>
        </w:rPr>
      </w:pPr>
      <w:r w:rsidRPr="00BC481B">
        <w:drawing>
          <wp:inline distT="0" distB="0" distL="0" distR="0">
            <wp:extent cx="5274310" cy="2150745"/>
            <wp:effectExtent l="0" t="0" r="2540" b="1905"/>
            <wp:docPr id="6978986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150745"/>
                    </a:xfrm>
                    <a:prstGeom prst="rect">
                      <a:avLst/>
                    </a:prstGeom>
                    <a:noFill/>
                    <a:ln>
                      <a:noFill/>
                    </a:ln>
                  </pic:spPr>
                </pic:pic>
              </a:graphicData>
            </a:graphic>
          </wp:inline>
        </w:drawing>
      </w:r>
    </w:p>
    <w:p w:rsidR="00BC481B" w:rsidRPr="00BC481B" w:rsidRDefault="00BC481B" w:rsidP="00BC481B">
      <w:pPr>
        <w:rPr>
          <w:rFonts w:hint="eastAsia"/>
        </w:rPr>
      </w:pPr>
      <w:r w:rsidRPr="00BC481B">
        <w:drawing>
          <wp:inline distT="0" distB="0" distL="0" distR="0">
            <wp:extent cx="5274310" cy="3249930"/>
            <wp:effectExtent l="0" t="0" r="2540" b="7620"/>
            <wp:docPr id="14304157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249930"/>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LoongArch 具有较强的扩展性和自主性。LoongArch 包括基础架构部分和向量指令、虚拟化、二进制翻译等扩展部分近 2000 条指令，具有较好的扩展性。自主性方面，LoongArch 指令系统从整个架构的顶层规划，到各部分的功能定义，再到每条指令的编码、名称、含义，都进行了自主设计，具有充分的自主可靠性。</w:t>
      </w:r>
    </w:p>
    <w:p w:rsidR="00BC481B" w:rsidRPr="00BC481B" w:rsidRDefault="00BC481B" w:rsidP="00BC481B">
      <w:pPr>
        <w:rPr>
          <w:rFonts w:hint="eastAsia"/>
        </w:rPr>
      </w:pPr>
      <w:r w:rsidRPr="00BC481B">
        <w:drawing>
          <wp:inline distT="0" distB="0" distL="0" distR="0">
            <wp:extent cx="5274310" cy="1808480"/>
            <wp:effectExtent l="0" t="0" r="2540" b="1270"/>
            <wp:docPr id="6420508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1808480"/>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基于自主指令系统（LoongArch）的 3A5000/3B5000 是龙芯当前重点发展产品。龙芯</w:t>
      </w:r>
      <w:r w:rsidRPr="00BC481B">
        <w:rPr>
          <w:rFonts w:hint="eastAsia"/>
        </w:rPr>
        <w:lastRenderedPageBreak/>
        <w:t>3A5000/3B5000 是面向个人计算机、服务器等信息化领域的通用处理器，基于龙芯自主指令系统（LoongArch）的 LA464 微结构，并进一步提升频率，降低功耗，优化性能。</w:t>
      </w:r>
    </w:p>
    <w:p w:rsidR="00BC481B" w:rsidRPr="00BC481B" w:rsidRDefault="00BC481B" w:rsidP="00BC481B">
      <w:pPr>
        <w:rPr>
          <w:rFonts w:hint="eastAsia"/>
        </w:rPr>
      </w:pPr>
      <w:r w:rsidRPr="00BC481B">
        <w:drawing>
          <wp:inline distT="0" distB="0" distL="0" distR="0">
            <wp:extent cx="5274310" cy="2023745"/>
            <wp:effectExtent l="0" t="0" r="2540" b="0"/>
            <wp:docPr id="1640233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023745"/>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从 3A5000 在 SPEC CPU 2006 BASE 性能测试中的表现来看，龙芯 3A5000 单核定点为25.1 分，单核浮点为 26 分。相比 intel i5 9500 六核 14nm 的确有不小的差距，但单核定点与国产 ARM V8 四核 7nm 处理器不相上下，单核浮点略优于国产 ARM V8 四核 7nm 处理器。龙芯 3A5000 对比国产 ARM V8 八核 14nm 处理器的单核定点则高出近 10 分，单核浮点则高出近一倍。多线程测试中，intel i5 9500 六核 14nm 处理器依然表现最佳，而龙芯 3A5000 的多核定点与多核浮点均高于国产 ARM V8 四核 7nm处理器，由于国产 ARM V8 八核 14nm 处理器核心数量上具有一定的优势，因此定点和浮点的分数要高于龙芯 3A5000 和国产 ARM V8 四核 7nm 处理器。</w:t>
      </w:r>
    </w:p>
    <w:p w:rsidR="00BC481B" w:rsidRPr="00BC481B" w:rsidRDefault="00BC481B" w:rsidP="00BC481B">
      <w:pPr>
        <w:rPr>
          <w:rFonts w:hint="eastAsia"/>
        </w:rPr>
      </w:pPr>
      <w:r w:rsidRPr="00BC481B">
        <w:rPr>
          <w:rFonts w:hint="eastAsia"/>
        </w:rPr>
        <w:t>7、申威Alpha 指令处理器</w:t>
      </w:r>
    </w:p>
    <w:p w:rsidR="00BC481B" w:rsidRPr="00BC481B" w:rsidRDefault="00BC481B" w:rsidP="00BC481B">
      <w:pPr>
        <w:ind w:firstLineChars="200" w:firstLine="420"/>
        <w:rPr>
          <w:rFonts w:hint="eastAsia"/>
        </w:rPr>
      </w:pPr>
      <w:r w:rsidRPr="00BC481B">
        <w:rPr>
          <w:rFonts w:hint="eastAsia"/>
        </w:rPr>
        <w:t>申威处理器以 Alpha 指令集为基础进行拓展，高度自主可控。Alpha 指令集由美国 DEC公司研制，主要用于 64 位的 RISC 微处理器。 江南计算所基于原来的 Alpha 指令集，开发出了更多的自主知识产权的指令集，并研制了申威指令系统，推出了申威处理器。申威处理器是在国家"核高基"重大专项支持下，由上海高性能集成电路中心研制的全国产处理器。首颗申威处理器代号“SW-1”,于 2006 年研制成功，“SW-1”基于 DEC公司 Alpha 架构，130nm 制程，主频为 900MHz。</w:t>
      </w:r>
    </w:p>
    <w:p w:rsidR="00BC481B" w:rsidRPr="00BC481B" w:rsidRDefault="00BC481B" w:rsidP="00BC481B">
      <w:pPr>
        <w:rPr>
          <w:rFonts w:hint="eastAsia"/>
        </w:rPr>
      </w:pPr>
      <w:r w:rsidRPr="00BC481B">
        <w:drawing>
          <wp:inline distT="0" distB="0" distL="0" distR="0">
            <wp:extent cx="5274310" cy="2339340"/>
            <wp:effectExtent l="0" t="0" r="2540" b="3810"/>
            <wp:docPr id="17745882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339340"/>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申威在研发出第一代基于 Alpha 指令集的 CPU 后，将指令集替换为自研的自主可控申威 64 位指令集，完全区别于原有 Alpha 指令集。申威处理器专注于高性能计算，尤其是在服务器领域，浮点运算算力与同期外国处理器相当。申威 SW26010 是中国首个采用国产自研架构且性能强大的计算机芯片。</w:t>
      </w:r>
    </w:p>
    <w:p w:rsidR="00BC481B" w:rsidRPr="00BC481B" w:rsidRDefault="00BC481B" w:rsidP="00BC481B">
      <w:pPr>
        <w:rPr>
          <w:rFonts w:hint="eastAsia"/>
        </w:rPr>
      </w:pPr>
      <w:r w:rsidRPr="00BC481B">
        <w:lastRenderedPageBreak/>
        <w:drawing>
          <wp:inline distT="0" distB="0" distL="0" distR="0">
            <wp:extent cx="5274310" cy="1476375"/>
            <wp:effectExtent l="0" t="0" r="2540" b="9525"/>
            <wp:docPr id="5278374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1476375"/>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申威 26010 处理器的峰值性能大于每秒 12.5 万万亿次浮点运算结果，峰值速度、持续性能、性能功耗比排在世界前列。 2016 年，搭载了 40960 颗申威 SW26010 并运行国产操作系统神威睿思的神威太湖之光获得全球超级计算机第一名，神威太湖之光峰值计算速度达每秒 12.54 亿亿次，是全球首台峰值计算速度超过十亿亿次的超级计算机，持续性能为每秒 9.3 亿亿次，软件硬件并行，均为申威自主设计。</w:t>
      </w:r>
    </w:p>
    <w:p w:rsidR="00BC481B" w:rsidRPr="00BC481B" w:rsidRDefault="00BC481B" w:rsidP="00BC481B">
      <w:pPr>
        <w:rPr>
          <w:rFonts w:hint="eastAsia"/>
        </w:rPr>
      </w:pPr>
      <w:r w:rsidRPr="00BC481B">
        <w:drawing>
          <wp:inline distT="0" distB="0" distL="0" distR="0">
            <wp:extent cx="5274310" cy="3026410"/>
            <wp:effectExtent l="0" t="0" r="2540" b="2540"/>
            <wp:docPr id="4696859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026410"/>
                    </a:xfrm>
                    <a:prstGeom prst="rect">
                      <a:avLst/>
                    </a:prstGeom>
                    <a:noFill/>
                    <a:ln>
                      <a:noFill/>
                    </a:ln>
                  </pic:spPr>
                </pic:pic>
              </a:graphicData>
            </a:graphic>
          </wp:inline>
        </w:drawing>
      </w:r>
    </w:p>
    <w:p w:rsidR="00BC481B" w:rsidRPr="00BC481B" w:rsidRDefault="00BC481B" w:rsidP="00BC481B">
      <w:pPr>
        <w:rPr>
          <w:rFonts w:hint="eastAsia"/>
        </w:rPr>
      </w:pPr>
      <w:r w:rsidRPr="00BC481B">
        <w:drawing>
          <wp:inline distT="0" distB="0" distL="0" distR="0">
            <wp:extent cx="5274310" cy="921385"/>
            <wp:effectExtent l="0" t="0" r="2540" b="0"/>
            <wp:docPr id="214695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921385"/>
                    </a:xfrm>
                    <a:prstGeom prst="rect">
                      <a:avLst/>
                    </a:prstGeom>
                    <a:noFill/>
                    <a:ln>
                      <a:noFill/>
                    </a:ln>
                  </pic:spPr>
                </pic:pic>
              </a:graphicData>
            </a:graphic>
          </wp:inline>
        </w:drawing>
      </w:r>
    </w:p>
    <w:p w:rsidR="00BC481B" w:rsidRPr="00BC481B" w:rsidRDefault="00BC481B" w:rsidP="00BC481B">
      <w:pPr>
        <w:ind w:firstLineChars="200" w:firstLine="420"/>
        <w:rPr>
          <w:rFonts w:hint="eastAsia"/>
        </w:rPr>
      </w:pPr>
      <w:r w:rsidRPr="00BC481B">
        <w:rPr>
          <w:rFonts w:hint="eastAsia"/>
        </w:rPr>
        <w:t>申威 8A 芯片采用最新的第四代申威处理器核心（简称 Core4）。Core4 核心继续采用超标量流水线结构，支持乱序发射、乱序执行、推测执行，并首次采用 SMT 技术，支持每个核心同时运行两个线程。申威 831 相比上一代 4 核 CPU 申威 421 在功耗相当的前提下，性能提升 2 倍以上，下一代产品申威 4E 相比申威 831 性能再提升 50%以上，与 Intel 中端桌面处理器相当；申威下一代服务器产品威鑫 8A 与 Intel 中端服务器处理器相当。</w:t>
      </w:r>
    </w:p>
    <w:p w:rsidR="00684586" w:rsidRDefault="00684586"/>
    <w:sectPr w:rsidR="0068458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81B"/>
    <w:rsid w:val="00177111"/>
    <w:rsid w:val="0040617F"/>
    <w:rsid w:val="004B7FA4"/>
    <w:rsid w:val="00684586"/>
    <w:rsid w:val="00684E96"/>
    <w:rsid w:val="007A0569"/>
    <w:rsid w:val="007D4E69"/>
    <w:rsid w:val="00821D61"/>
    <w:rsid w:val="008A0225"/>
    <w:rsid w:val="00B26DA9"/>
    <w:rsid w:val="00BC481B"/>
    <w:rsid w:val="00F14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F5988"/>
  <w15:chartTrackingRefBased/>
  <w15:docId w15:val="{9A465016-06E3-48FB-9BA3-26B4979E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C481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BC481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BC481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C481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BC481B"/>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BC481B"/>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BC481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C481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C481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C481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BC481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BC481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BC481B"/>
    <w:rPr>
      <w:rFonts w:cstheme="majorBidi"/>
      <w:color w:val="2F5496" w:themeColor="accent1" w:themeShade="BF"/>
      <w:sz w:val="28"/>
      <w:szCs w:val="28"/>
    </w:rPr>
  </w:style>
  <w:style w:type="character" w:customStyle="1" w:styleId="50">
    <w:name w:val="标题 5 字符"/>
    <w:basedOn w:val="a0"/>
    <w:link w:val="5"/>
    <w:uiPriority w:val="9"/>
    <w:semiHidden/>
    <w:rsid w:val="00BC481B"/>
    <w:rPr>
      <w:rFonts w:cstheme="majorBidi"/>
      <w:color w:val="2F5496" w:themeColor="accent1" w:themeShade="BF"/>
      <w:sz w:val="24"/>
      <w:szCs w:val="24"/>
    </w:rPr>
  </w:style>
  <w:style w:type="character" w:customStyle="1" w:styleId="60">
    <w:name w:val="标题 6 字符"/>
    <w:basedOn w:val="a0"/>
    <w:link w:val="6"/>
    <w:uiPriority w:val="9"/>
    <w:semiHidden/>
    <w:rsid w:val="00BC481B"/>
    <w:rPr>
      <w:rFonts w:cstheme="majorBidi"/>
      <w:b/>
      <w:bCs/>
      <w:color w:val="2F5496" w:themeColor="accent1" w:themeShade="BF"/>
    </w:rPr>
  </w:style>
  <w:style w:type="character" w:customStyle="1" w:styleId="70">
    <w:name w:val="标题 7 字符"/>
    <w:basedOn w:val="a0"/>
    <w:link w:val="7"/>
    <w:uiPriority w:val="9"/>
    <w:semiHidden/>
    <w:rsid w:val="00BC481B"/>
    <w:rPr>
      <w:rFonts w:cstheme="majorBidi"/>
      <w:b/>
      <w:bCs/>
      <w:color w:val="595959" w:themeColor="text1" w:themeTint="A6"/>
    </w:rPr>
  </w:style>
  <w:style w:type="character" w:customStyle="1" w:styleId="80">
    <w:name w:val="标题 8 字符"/>
    <w:basedOn w:val="a0"/>
    <w:link w:val="8"/>
    <w:uiPriority w:val="9"/>
    <w:semiHidden/>
    <w:rsid w:val="00BC481B"/>
    <w:rPr>
      <w:rFonts w:cstheme="majorBidi"/>
      <w:color w:val="595959" w:themeColor="text1" w:themeTint="A6"/>
    </w:rPr>
  </w:style>
  <w:style w:type="character" w:customStyle="1" w:styleId="90">
    <w:name w:val="标题 9 字符"/>
    <w:basedOn w:val="a0"/>
    <w:link w:val="9"/>
    <w:uiPriority w:val="9"/>
    <w:semiHidden/>
    <w:rsid w:val="00BC481B"/>
    <w:rPr>
      <w:rFonts w:eastAsiaTheme="majorEastAsia" w:cstheme="majorBidi"/>
      <w:color w:val="595959" w:themeColor="text1" w:themeTint="A6"/>
    </w:rPr>
  </w:style>
  <w:style w:type="paragraph" w:styleId="a3">
    <w:name w:val="Title"/>
    <w:basedOn w:val="a"/>
    <w:next w:val="a"/>
    <w:link w:val="a4"/>
    <w:uiPriority w:val="10"/>
    <w:qFormat/>
    <w:rsid w:val="00BC481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C481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C481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C481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C481B"/>
    <w:pPr>
      <w:spacing w:before="160" w:after="160"/>
      <w:jc w:val="center"/>
    </w:pPr>
    <w:rPr>
      <w:i/>
      <w:iCs/>
      <w:color w:val="404040" w:themeColor="text1" w:themeTint="BF"/>
    </w:rPr>
  </w:style>
  <w:style w:type="character" w:customStyle="1" w:styleId="a8">
    <w:name w:val="引用 字符"/>
    <w:basedOn w:val="a0"/>
    <w:link w:val="a7"/>
    <w:uiPriority w:val="29"/>
    <w:rsid w:val="00BC481B"/>
    <w:rPr>
      <w:i/>
      <w:iCs/>
      <w:color w:val="404040" w:themeColor="text1" w:themeTint="BF"/>
    </w:rPr>
  </w:style>
  <w:style w:type="paragraph" w:styleId="a9">
    <w:name w:val="List Paragraph"/>
    <w:basedOn w:val="a"/>
    <w:uiPriority w:val="34"/>
    <w:qFormat/>
    <w:rsid w:val="00BC481B"/>
    <w:pPr>
      <w:ind w:left="720"/>
      <w:contextualSpacing/>
    </w:pPr>
  </w:style>
  <w:style w:type="character" w:styleId="aa">
    <w:name w:val="Intense Emphasis"/>
    <w:basedOn w:val="a0"/>
    <w:uiPriority w:val="21"/>
    <w:qFormat/>
    <w:rsid w:val="00BC481B"/>
    <w:rPr>
      <w:i/>
      <w:iCs/>
      <w:color w:val="2F5496" w:themeColor="accent1" w:themeShade="BF"/>
    </w:rPr>
  </w:style>
  <w:style w:type="paragraph" w:styleId="ab">
    <w:name w:val="Intense Quote"/>
    <w:basedOn w:val="a"/>
    <w:next w:val="a"/>
    <w:link w:val="ac"/>
    <w:uiPriority w:val="30"/>
    <w:qFormat/>
    <w:rsid w:val="00BC48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BC481B"/>
    <w:rPr>
      <w:i/>
      <w:iCs/>
      <w:color w:val="2F5496" w:themeColor="accent1" w:themeShade="BF"/>
    </w:rPr>
  </w:style>
  <w:style w:type="character" w:styleId="ad">
    <w:name w:val="Intense Reference"/>
    <w:basedOn w:val="a0"/>
    <w:uiPriority w:val="32"/>
    <w:qFormat/>
    <w:rsid w:val="00BC481B"/>
    <w:rPr>
      <w:b/>
      <w:bCs/>
      <w:smallCaps/>
      <w:color w:val="2F5496" w:themeColor="accent1" w:themeShade="BF"/>
      <w:spacing w:val="5"/>
    </w:rPr>
  </w:style>
  <w:style w:type="character" w:styleId="ae">
    <w:name w:val="Hyperlink"/>
    <w:basedOn w:val="a0"/>
    <w:uiPriority w:val="99"/>
    <w:semiHidden/>
    <w:unhideWhenUsed/>
    <w:rsid w:val="00BC481B"/>
    <w:rPr>
      <w:color w:val="0000FF"/>
      <w:u w:val="single"/>
    </w:rPr>
  </w:style>
  <w:style w:type="paragraph" w:styleId="af">
    <w:name w:val="Normal (Web)"/>
    <w:basedOn w:val="a"/>
    <w:uiPriority w:val="99"/>
    <w:semiHidden/>
    <w:unhideWhenUsed/>
    <w:rsid w:val="00BC481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192617">
      <w:bodyDiv w:val="1"/>
      <w:marLeft w:val="0"/>
      <w:marRight w:val="0"/>
      <w:marTop w:val="0"/>
      <w:marBottom w:val="0"/>
      <w:divBdr>
        <w:top w:val="none" w:sz="0" w:space="0" w:color="auto"/>
        <w:left w:val="none" w:sz="0" w:space="0" w:color="auto"/>
        <w:bottom w:val="none" w:sz="0" w:space="0" w:color="auto"/>
        <w:right w:val="none" w:sz="0" w:space="0" w:color="auto"/>
      </w:divBdr>
      <w:divsChild>
        <w:div w:id="1762330252">
          <w:marLeft w:val="0"/>
          <w:marRight w:val="0"/>
          <w:marTop w:val="0"/>
          <w:marBottom w:val="0"/>
          <w:divBdr>
            <w:top w:val="none" w:sz="0" w:space="0" w:color="auto"/>
            <w:left w:val="none" w:sz="0" w:space="0" w:color="auto"/>
            <w:bottom w:val="none" w:sz="0" w:space="0" w:color="auto"/>
            <w:right w:val="none" w:sz="0" w:space="0" w:color="auto"/>
          </w:divBdr>
          <w:divsChild>
            <w:div w:id="6029378">
              <w:marLeft w:val="0"/>
              <w:marRight w:val="0"/>
              <w:marTop w:val="0"/>
              <w:marBottom w:val="0"/>
              <w:divBdr>
                <w:top w:val="none" w:sz="0" w:space="0" w:color="auto"/>
                <w:left w:val="none" w:sz="0" w:space="0" w:color="auto"/>
                <w:bottom w:val="none" w:sz="0" w:space="0" w:color="auto"/>
                <w:right w:val="none" w:sz="0" w:space="0" w:color="auto"/>
              </w:divBdr>
              <w:divsChild>
                <w:div w:id="1451361494">
                  <w:marLeft w:val="0"/>
                  <w:marRight w:val="0"/>
                  <w:marTop w:val="0"/>
                  <w:marBottom w:val="0"/>
                  <w:divBdr>
                    <w:top w:val="none" w:sz="0" w:space="0" w:color="auto"/>
                    <w:left w:val="none" w:sz="0" w:space="0" w:color="auto"/>
                    <w:bottom w:val="none" w:sz="0" w:space="0" w:color="auto"/>
                    <w:right w:val="none" w:sz="0" w:space="0" w:color="auto"/>
                  </w:divBdr>
                  <w:divsChild>
                    <w:div w:id="1558473855">
                      <w:marLeft w:val="0"/>
                      <w:marRight w:val="0"/>
                      <w:marTop w:val="0"/>
                      <w:marBottom w:val="0"/>
                      <w:divBdr>
                        <w:top w:val="none" w:sz="0" w:space="0" w:color="auto"/>
                        <w:left w:val="none" w:sz="0" w:space="0" w:color="auto"/>
                        <w:bottom w:val="none" w:sz="0" w:space="0" w:color="auto"/>
                        <w:right w:val="none" w:sz="0" w:space="0" w:color="auto"/>
                      </w:divBdr>
                    </w:div>
                    <w:div w:id="109276387">
                      <w:marLeft w:val="210"/>
                      <w:marRight w:val="0"/>
                      <w:marTop w:val="0"/>
                      <w:marBottom w:val="0"/>
                      <w:divBdr>
                        <w:top w:val="none" w:sz="0" w:space="0" w:color="auto"/>
                        <w:left w:val="none" w:sz="0" w:space="0" w:color="auto"/>
                        <w:bottom w:val="none" w:sz="0" w:space="0" w:color="auto"/>
                        <w:right w:val="none" w:sz="0" w:space="0" w:color="auto"/>
                      </w:divBdr>
                      <w:divsChild>
                        <w:div w:id="1992446698">
                          <w:marLeft w:val="0"/>
                          <w:marRight w:val="0"/>
                          <w:marTop w:val="0"/>
                          <w:marBottom w:val="0"/>
                          <w:divBdr>
                            <w:top w:val="none" w:sz="0" w:space="0" w:color="auto"/>
                            <w:left w:val="none" w:sz="0" w:space="0" w:color="auto"/>
                            <w:bottom w:val="none" w:sz="0" w:space="0" w:color="auto"/>
                            <w:right w:val="none" w:sz="0" w:space="0" w:color="auto"/>
                          </w:divBdr>
                          <w:divsChild>
                            <w:div w:id="15471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92283">
          <w:marLeft w:val="0"/>
          <w:marRight w:val="0"/>
          <w:marTop w:val="0"/>
          <w:marBottom w:val="0"/>
          <w:divBdr>
            <w:top w:val="none" w:sz="0" w:space="0" w:color="auto"/>
            <w:left w:val="none" w:sz="0" w:space="0" w:color="auto"/>
            <w:bottom w:val="none" w:sz="0" w:space="0" w:color="auto"/>
            <w:right w:val="none" w:sz="0" w:space="0" w:color="auto"/>
          </w:divBdr>
          <w:divsChild>
            <w:div w:id="1600792619">
              <w:marLeft w:val="0"/>
              <w:marRight w:val="0"/>
              <w:marTop w:val="180"/>
              <w:marBottom w:val="180"/>
              <w:divBdr>
                <w:top w:val="none" w:sz="0" w:space="0" w:color="auto"/>
                <w:left w:val="none" w:sz="0" w:space="0" w:color="auto"/>
                <w:bottom w:val="none" w:sz="0" w:space="0" w:color="auto"/>
                <w:right w:val="none" w:sz="0" w:space="0" w:color="auto"/>
              </w:divBdr>
              <w:divsChild>
                <w:div w:id="11286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4980">
          <w:marLeft w:val="0"/>
          <w:marRight w:val="0"/>
          <w:marTop w:val="0"/>
          <w:marBottom w:val="0"/>
          <w:divBdr>
            <w:top w:val="none" w:sz="0" w:space="0" w:color="auto"/>
            <w:left w:val="none" w:sz="0" w:space="0" w:color="auto"/>
            <w:bottom w:val="none" w:sz="0" w:space="0" w:color="auto"/>
            <w:right w:val="none" w:sz="0" w:space="0" w:color="auto"/>
          </w:divBdr>
          <w:divsChild>
            <w:div w:id="857081378">
              <w:marLeft w:val="0"/>
              <w:marRight w:val="0"/>
              <w:marTop w:val="240"/>
              <w:marBottom w:val="0"/>
              <w:divBdr>
                <w:top w:val="none" w:sz="0" w:space="0" w:color="auto"/>
                <w:left w:val="none" w:sz="0" w:space="0" w:color="auto"/>
                <w:bottom w:val="none" w:sz="0" w:space="0" w:color="auto"/>
                <w:right w:val="none" w:sz="0" w:space="0" w:color="auto"/>
              </w:divBdr>
              <w:divsChild>
                <w:div w:id="1659503714">
                  <w:marLeft w:val="0"/>
                  <w:marRight w:val="0"/>
                  <w:marTop w:val="0"/>
                  <w:marBottom w:val="0"/>
                  <w:divBdr>
                    <w:top w:val="none" w:sz="0" w:space="0" w:color="auto"/>
                    <w:left w:val="none" w:sz="0" w:space="0" w:color="auto"/>
                    <w:bottom w:val="none" w:sz="0" w:space="0" w:color="auto"/>
                    <w:right w:val="none" w:sz="0" w:space="0" w:color="auto"/>
                  </w:divBdr>
                  <w:divsChild>
                    <w:div w:id="1208101610">
                      <w:marLeft w:val="0"/>
                      <w:marRight w:val="0"/>
                      <w:marTop w:val="0"/>
                      <w:marBottom w:val="0"/>
                      <w:divBdr>
                        <w:top w:val="none" w:sz="0" w:space="0" w:color="auto"/>
                        <w:left w:val="none" w:sz="0" w:space="0" w:color="auto"/>
                        <w:bottom w:val="none" w:sz="0" w:space="0" w:color="auto"/>
                        <w:right w:val="none" w:sz="0" w:space="0" w:color="auto"/>
                      </w:divBdr>
                      <w:divsChild>
                        <w:div w:id="428283452">
                          <w:marLeft w:val="0"/>
                          <w:marRight w:val="0"/>
                          <w:marTop w:val="0"/>
                          <w:marBottom w:val="0"/>
                          <w:divBdr>
                            <w:top w:val="none" w:sz="0" w:space="0" w:color="auto"/>
                            <w:left w:val="none" w:sz="0" w:space="0" w:color="auto"/>
                            <w:bottom w:val="none" w:sz="0" w:space="0" w:color="auto"/>
                            <w:right w:val="none" w:sz="0" w:space="0" w:color="auto"/>
                          </w:divBdr>
                        </w:div>
                        <w:div w:id="2079788602">
                          <w:marLeft w:val="0"/>
                          <w:marRight w:val="0"/>
                          <w:marTop w:val="0"/>
                          <w:marBottom w:val="0"/>
                          <w:divBdr>
                            <w:top w:val="none" w:sz="0" w:space="0" w:color="auto"/>
                            <w:left w:val="none" w:sz="0" w:space="0" w:color="auto"/>
                            <w:bottom w:val="none" w:sz="0" w:space="0" w:color="auto"/>
                            <w:right w:val="none" w:sz="0" w:space="0" w:color="auto"/>
                          </w:divBdr>
                        </w:div>
                        <w:div w:id="1252466305">
                          <w:marLeft w:val="0"/>
                          <w:marRight w:val="0"/>
                          <w:marTop w:val="0"/>
                          <w:marBottom w:val="0"/>
                          <w:divBdr>
                            <w:top w:val="none" w:sz="0" w:space="0" w:color="auto"/>
                            <w:left w:val="none" w:sz="0" w:space="0" w:color="auto"/>
                            <w:bottom w:val="none" w:sz="0" w:space="0" w:color="auto"/>
                            <w:right w:val="none" w:sz="0" w:space="0" w:color="auto"/>
                          </w:divBdr>
                        </w:div>
                        <w:div w:id="1562129290">
                          <w:marLeft w:val="0"/>
                          <w:marRight w:val="0"/>
                          <w:marTop w:val="0"/>
                          <w:marBottom w:val="0"/>
                          <w:divBdr>
                            <w:top w:val="none" w:sz="0" w:space="0" w:color="auto"/>
                            <w:left w:val="none" w:sz="0" w:space="0" w:color="auto"/>
                            <w:bottom w:val="none" w:sz="0" w:space="0" w:color="auto"/>
                            <w:right w:val="none" w:sz="0" w:space="0" w:color="auto"/>
                          </w:divBdr>
                        </w:div>
                        <w:div w:id="1191141022">
                          <w:marLeft w:val="0"/>
                          <w:marRight w:val="0"/>
                          <w:marTop w:val="0"/>
                          <w:marBottom w:val="0"/>
                          <w:divBdr>
                            <w:top w:val="none" w:sz="0" w:space="0" w:color="auto"/>
                            <w:left w:val="none" w:sz="0" w:space="0" w:color="auto"/>
                            <w:bottom w:val="none" w:sz="0" w:space="0" w:color="auto"/>
                            <w:right w:val="none" w:sz="0" w:space="0" w:color="auto"/>
                          </w:divBdr>
                        </w:div>
                        <w:div w:id="2021740301">
                          <w:marLeft w:val="0"/>
                          <w:marRight w:val="0"/>
                          <w:marTop w:val="0"/>
                          <w:marBottom w:val="0"/>
                          <w:divBdr>
                            <w:top w:val="none" w:sz="0" w:space="0" w:color="auto"/>
                            <w:left w:val="none" w:sz="0" w:space="0" w:color="auto"/>
                            <w:bottom w:val="none" w:sz="0" w:space="0" w:color="auto"/>
                            <w:right w:val="none" w:sz="0" w:space="0" w:color="auto"/>
                          </w:divBdr>
                        </w:div>
                        <w:div w:id="1054744115">
                          <w:marLeft w:val="0"/>
                          <w:marRight w:val="0"/>
                          <w:marTop w:val="0"/>
                          <w:marBottom w:val="0"/>
                          <w:divBdr>
                            <w:top w:val="none" w:sz="0" w:space="0" w:color="auto"/>
                            <w:left w:val="none" w:sz="0" w:space="0" w:color="auto"/>
                            <w:bottom w:val="none" w:sz="0" w:space="0" w:color="auto"/>
                            <w:right w:val="none" w:sz="0" w:space="0" w:color="auto"/>
                          </w:divBdr>
                        </w:div>
                        <w:div w:id="216400840">
                          <w:marLeft w:val="0"/>
                          <w:marRight w:val="0"/>
                          <w:marTop w:val="0"/>
                          <w:marBottom w:val="0"/>
                          <w:divBdr>
                            <w:top w:val="none" w:sz="0" w:space="0" w:color="auto"/>
                            <w:left w:val="none" w:sz="0" w:space="0" w:color="auto"/>
                            <w:bottom w:val="none" w:sz="0" w:space="0" w:color="auto"/>
                            <w:right w:val="none" w:sz="0" w:space="0" w:color="auto"/>
                          </w:divBdr>
                        </w:div>
                        <w:div w:id="232934304">
                          <w:marLeft w:val="0"/>
                          <w:marRight w:val="0"/>
                          <w:marTop w:val="0"/>
                          <w:marBottom w:val="0"/>
                          <w:divBdr>
                            <w:top w:val="none" w:sz="0" w:space="0" w:color="auto"/>
                            <w:left w:val="none" w:sz="0" w:space="0" w:color="auto"/>
                            <w:bottom w:val="none" w:sz="0" w:space="0" w:color="auto"/>
                            <w:right w:val="none" w:sz="0" w:space="0" w:color="auto"/>
                          </w:divBdr>
                        </w:div>
                        <w:div w:id="1467701613">
                          <w:marLeft w:val="0"/>
                          <w:marRight w:val="0"/>
                          <w:marTop w:val="0"/>
                          <w:marBottom w:val="0"/>
                          <w:divBdr>
                            <w:top w:val="none" w:sz="0" w:space="0" w:color="auto"/>
                            <w:left w:val="none" w:sz="0" w:space="0" w:color="auto"/>
                            <w:bottom w:val="none" w:sz="0" w:space="0" w:color="auto"/>
                            <w:right w:val="none" w:sz="0" w:space="0" w:color="auto"/>
                          </w:divBdr>
                        </w:div>
                        <w:div w:id="1361662985">
                          <w:marLeft w:val="0"/>
                          <w:marRight w:val="0"/>
                          <w:marTop w:val="0"/>
                          <w:marBottom w:val="0"/>
                          <w:divBdr>
                            <w:top w:val="none" w:sz="0" w:space="0" w:color="auto"/>
                            <w:left w:val="none" w:sz="0" w:space="0" w:color="auto"/>
                            <w:bottom w:val="none" w:sz="0" w:space="0" w:color="auto"/>
                            <w:right w:val="none" w:sz="0" w:space="0" w:color="auto"/>
                          </w:divBdr>
                        </w:div>
                        <w:div w:id="93791268">
                          <w:marLeft w:val="0"/>
                          <w:marRight w:val="0"/>
                          <w:marTop w:val="0"/>
                          <w:marBottom w:val="0"/>
                          <w:divBdr>
                            <w:top w:val="none" w:sz="0" w:space="0" w:color="auto"/>
                            <w:left w:val="none" w:sz="0" w:space="0" w:color="auto"/>
                            <w:bottom w:val="none" w:sz="0" w:space="0" w:color="auto"/>
                            <w:right w:val="none" w:sz="0" w:space="0" w:color="auto"/>
                          </w:divBdr>
                        </w:div>
                        <w:div w:id="409426059">
                          <w:marLeft w:val="0"/>
                          <w:marRight w:val="0"/>
                          <w:marTop w:val="0"/>
                          <w:marBottom w:val="0"/>
                          <w:divBdr>
                            <w:top w:val="none" w:sz="0" w:space="0" w:color="auto"/>
                            <w:left w:val="none" w:sz="0" w:space="0" w:color="auto"/>
                            <w:bottom w:val="none" w:sz="0" w:space="0" w:color="auto"/>
                            <w:right w:val="none" w:sz="0" w:space="0" w:color="auto"/>
                          </w:divBdr>
                        </w:div>
                        <w:div w:id="1660500241">
                          <w:marLeft w:val="0"/>
                          <w:marRight w:val="0"/>
                          <w:marTop w:val="0"/>
                          <w:marBottom w:val="0"/>
                          <w:divBdr>
                            <w:top w:val="none" w:sz="0" w:space="0" w:color="auto"/>
                            <w:left w:val="none" w:sz="0" w:space="0" w:color="auto"/>
                            <w:bottom w:val="none" w:sz="0" w:space="0" w:color="auto"/>
                            <w:right w:val="none" w:sz="0" w:space="0" w:color="auto"/>
                          </w:divBdr>
                        </w:div>
                        <w:div w:id="1343708060">
                          <w:marLeft w:val="0"/>
                          <w:marRight w:val="0"/>
                          <w:marTop w:val="0"/>
                          <w:marBottom w:val="0"/>
                          <w:divBdr>
                            <w:top w:val="none" w:sz="0" w:space="0" w:color="auto"/>
                            <w:left w:val="none" w:sz="0" w:space="0" w:color="auto"/>
                            <w:bottom w:val="none" w:sz="0" w:space="0" w:color="auto"/>
                            <w:right w:val="none" w:sz="0" w:space="0" w:color="auto"/>
                          </w:divBdr>
                        </w:div>
                        <w:div w:id="489906633">
                          <w:marLeft w:val="0"/>
                          <w:marRight w:val="0"/>
                          <w:marTop w:val="0"/>
                          <w:marBottom w:val="0"/>
                          <w:divBdr>
                            <w:top w:val="none" w:sz="0" w:space="0" w:color="auto"/>
                            <w:left w:val="none" w:sz="0" w:space="0" w:color="auto"/>
                            <w:bottom w:val="none" w:sz="0" w:space="0" w:color="auto"/>
                            <w:right w:val="none" w:sz="0" w:space="0" w:color="auto"/>
                          </w:divBdr>
                        </w:div>
                        <w:div w:id="24527032">
                          <w:marLeft w:val="0"/>
                          <w:marRight w:val="0"/>
                          <w:marTop w:val="0"/>
                          <w:marBottom w:val="0"/>
                          <w:divBdr>
                            <w:top w:val="none" w:sz="0" w:space="0" w:color="auto"/>
                            <w:left w:val="none" w:sz="0" w:space="0" w:color="auto"/>
                            <w:bottom w:val="none" w:sz="0" w:space="0" w:color="auto"/>
                            <w:right w:val="none" w:sz="0" w:space="0" w:color="auto"/>
                          </w:divBdr>
                        </w:div>
                        <w:div w:id="1717923162">
                          <w:marLeft w:val="0"/>
                          <w:marRight w:val="0"/>
                          <w:marTop w:val="0"/>
                          <w:marBottom w:val="0"/>
                          <w:divBdr>
                            <w:top w:val="none" w:sz="0" w:space="0" w:color="auto"/>
                            <w:left w:val="none" w:sz="0" w:space="0" w:color="auto"/>
                            <w:bottom w:val="none" w:sz="0" w:space="0" w:color="auto"/>
                            <w:right w:val="none" w:sz="0" w:space="0" w:color="auto"/>
                          </w:divBdr>
                        </w:div>
                        <w:div w:id="1015040541">
                          <w:marLeft w:val="0"/>
                          <w:marRight w:val="0"/>
                          <w:marTop w:val="0"/>
                          <w:marBottom w:val="0"/>
                          <w:divBdr>
                            <w:top w:val="none" w:sz="0" w:space="0" w:color="auto"/>
                            <w:left w:val="none" w:sz="0" w:space="0" w:color="auto"/>
                            <w:bottom w:val="none" w:sz="0" w:space="0" w:color="auto"/>
                            <w:right w:val="none" w:sz="0" w:space="0" w:color="auto"/>
                          </w:divBdr>
                        </w:div>
                        <w:div w:id="15022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ida.zhihu.com/search?content_id=249425046&amp;content_type=Article&amp;match_order=1&amp;q=%E6%A0%B8%E9%AB%98%E5%9F%BA%E4%B8%93%E9%A1%B9&amp;zhida_source=entity"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zhida.zhihu.com/search?content_id=249425046&amp;content_type=Article&amp;match_order=1&amp;q=PKS+%E4%BD%93%E7%B3%BB&amp;zhida_source=entity" TargetMode="External"/><Relationship Id="rId34" Type="http://schemas.openxmlformats.org/officeDocument/2006/relationships/image" Target="media/image19.png"/><Relationship Id="rId7" Type="http://schemas.openxmlformats.org/officeDocument/2006/relationships/hyperlink" Target="https://zhida.zhihu.com/search?content_id=249425046&amp;content_type=Article&amp;match_order=1&amp;q=863+%E8%AE%A1%E5%88%92&amp;zhida_source=entity" TargetMode="External"/><Relationship Id="rId12" Type="http://schemas.openxmlformats.org/officeDocument/2006/relationships/hyperlink" Target="https://zhida.zhihu.com/search?content_id=249425046&amp;content_type=Article&amp;match_order=1&amp;q=LoongArch&amp;zhida_source=entity" TargetMode="External"/><Relationship Id="rId17" Type="http://schemas.openxmlformats.org/officeDocument/2006/relationships/hyperlink" Target="https://zhida.zhihu.com/search?content_id=249425046&amp;content_type=Article&amp;match_order=1&amp;q=%E9%B2%B2%E9%B9%8F920&amp;zhida_source=entity"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zhida.zhihu.com/search?content_id=249425046&amp;content_type=Article&amp;match_order=1&amp;q=%E6%B3%B0%E5%B1%B1%E8%AE%A1%E5%88%92&amp;zhida_source=entity" TargetMode="External"/><Relationship Id="rId11" Type="http://schemas.openxmlformats.org/officeDocument/2006/relationships/hyperlink" Target="https://zhida.zhihu.com/search?content_id=249425046&amp;content_type=Article&amp;match_order=1&amp;q=%E9%BE%99%E8%8A%AF%E4%B8%AD%E7%A7%91&amp;zhida_source=entity"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hyperlink" Target="https://zhida.zhihu.com/search?content_id=249425046&amp;content_type=Article&amp;match_order=1&amp;q=X86&amp;zhida_source=entity" TargetMode="External"/><Relationship Id="rId15" Type="http://schemas.openxmlformats.org/officeDocument/2006/relationships/hyperlink" Target="https://zhida.zhihu.com/search?content_id=249425046&amp;content_type=Article&amp;match_order=1&amp;q=RISC-V&amp;zhida_source=entity"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zhida.zhihu.com/search?content_id=249425046&amp;content_type=Article&amp;match_order=1&amp;q=%E6%B5%B7%E5%85%89%E4%BF%A1%E6%81%AF&amp;zhida_source=entity"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hyperlink" Target="https://zhida.zhihu.com/search?content_id=249425046&amp;content_type=Article&amp;match_order=1&amp;q=ARM&amp;zhida_source=entity" TargetMode="External"/><Relationship Id="rId9" Type="http://schemas.openxmlformats.org/officeDocument/2006/relationships/hyperlink" Target="https://zhida.zhihu.com/search?content_id=249425046&amp;content_type=Article&amp;match_order=1&amp;q=%E5%85%86%E8%8A%AF&amp;zhida_source=entity"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946</Words>
  <Characters>5394</Characters>
  <Application>Microsoft Office Word</Application>
  <DocSecurity>0</DocSecurity>
  <Lines>44</Lines>
  <Paragraphs>12</Paragraphs>
  <ScaleCrop>false</ScaleCrop>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 .</dc:creator>
  <cp:keywords/>
  <dc:description/>
  <cp:lastModifiedBy>Lear .</cp:lastModifiedBy>
  <cp:revision>1</cp:revision>
  <dcterms:created xsi:type="dcterms:W3CDTF">2025-04-07T07:59:00Z</dcterms:created>
  <dcterms:modified xsi:type="dcterms:W3CDTF">2025-04-07T08:03:00Z</dcterms:modified>
</cp:coreProperties>
</file>